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2011 209 vom 22. März 2012</w:t>
      </w:r>
    </w:p>
    <w:p>
      <w:r>
        <w:t>BL Gerichte, 2012-03-22, DE</w:t>
      </w:r>
    </w:p>
    <w:p>
      <w:r>
        <w:rPr>
          <w:b/>
        </w:rPr>
        <w:t xml:space="preserve">Quelle: </w:t>
      </w:r>
      <w:r>
        <w:t>https://mcp.opencaselaw.ch/entscheid/bl_gerichte_735 2011 209</w:t>
      </w:r>
    </w:p>
    <w:p>
      <w:r>
        <w:t>FR: BL_GERICHTE 735 2011 209 du 22 mars 2012</w:t>
      </w:r>
    </w:p>
    <w:p>
      <w:r>
        <w:t>IT: BL_GERICHTE 735 2011 209 del 22 marzo 2012</w:t>
      </w:r>
    </w:p>
    <w:p>
      <w:pPr>
        <w:pStyle w:val="Heading2"/>
      </w:pPr>
      <w:r>
        <w:t>Regeste</w:t>
      </w:r>
    </w:p>
    <w:p>
      <w:r>
        <w:t>Austrittsleistung aus beruflicher Vorsorge</w:t>
      </w:r>
    </w:p>
    <w:p>
      <w:pPr>
        <w:pStyle w:val="Heading2"/>
      </w:pPr>
      <w:r>
        <w:t>Erwägungen</w:t>
      </w:r>
    </w:p>
    <w:p>
      <w:r>
        <w:rPr>
          <w:b/>
        </w:rPr>
        <w:t>E. 1</w:t>
      </w:r>
    </w:p>
    <w:p>
      <w:r>
        <w:t>Am 1. Januar 2011 ist die Schweizerische Zivilprozessordnung (ZPO) vom 19. Dezember 2008 in Kraft getreten. Mit ihr sind zahlreiche Bestimmungen im Bereich des Schweizerischen Zivilgesetzbuches (ZGB) vom 10. Dezember 1907 geändert worden. Das Übergangsrecht für hängige Rechtsmittelverfahren bestimmt in Art. 404 Abs. 1 ZPO, dass für Verfahren, die bei In-Kraft-Treten dieses Gesetzes hängig sind, das bisherige Verfahrensrecht bis zum Abschluss vor der betroffenen Instanz gilt. Das Bezirksgericht Arlesheim überwies die vorliegende Angelegenheit am 27. Mai 2011 dem Kantonsgericht. Unter diesen Umständen hat die Teilung der Austrittsleistungen anhand der ab 1. Januar 2011 geltenden rechtlichen Bestimmungen des ZGB und der ZPO zu erfolgen.</w:t>
      </w:r>
    </w:p>
    <w:p>
      <w:r>
        <w:rPr>
          <w:b/>
        </w:rPr>
        <w:t>E. 1.2</w:t>
      </w:r>
    </w:p>
    <w:p>
      <w:r>
        <w:t>Art. 281 Abs. 3 ZPO hält für den Fall, dass die Ehegatten sich über die Teilung der Austrittsleistungen nicht einigen können, fest, dass das Zivilgericht über das Verhältnis, in welchem die Austrittsleistungen zu teilen sind, entscheidet und hernach die Angelegenheit, sobald das Urteil rechtskräftig ist, dem nach dem Bundesgesetz über die Freizügigkeit in der beruflichen Alters-, Hinterlassenen- und Invalidenvorsorge (FZG) vom 17. Dezember 1993 zuständigen Gericht überweist. Diesem ist der Entscheid über das Teilungsverhältnis, das Datum der Eheschliessung und dasjenige der Ehescheidung, die Einrichtungen der beruflichen Vorsorge, bei denen den Ehegatten voraussichtlich Guthaben zustehen, und die Höhe der Guthaben der Ehegatten, die diese Einrichtungen gemeldet haben, mitzuteilen.</w:t>
      </w:r>
    </w:p>
    <w:p>
      <w:r>
        <w:rPr>
          <w:b/>
        </w:rPr>
        <w:t>E. 1.3</w:t>
      </w:r>
    </w:p>
    <w:p>
      <w:r>
        <w:t>Gemäss Art. 73 des Bundesgesetzes über die berufliche Alters-, Hinterlassenen- und Invalidenvorsorge (BVG) vom 25. Juni 1982 in Verbindung mit Art. 25a Abs. 1 FZG hat das am Ort der Scheidung zuständige Gericht gestützt auf den vom Scheidungsgericht bestimmten Teilungsschlüssel die Teilung der Austrittsleistungen durchzuführen. Das für BVG-Angelegenheiten zuständige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 2.1. Im vorliegenden Fall steht fest, dass die geschiedene Ehefrau während der Ehe keiner unselbstständigen Erwerbstätigkeit nachging und somit über kein Altersguthaben aus beruflicher Vorsorge verfügt. Die D. berechnete die Höhe der Austrittsleistung des geschiedenen Ehemannes per Rechtskraft des Scheidungsurteils (= 22. Februar 2011) und per 28. Februar 2011 (= im Scheidungsurteil festgesetzter Stichtag). Massgebender Zeitpunkt für die Teilung der Austrittsleistung ist nach der gesetzlichen Definition die Ehedauer (vgl. Art. 22 Abs. 1 FZG). Die Ehe beginnt mit dem Tag der Eheschliessung und endet mit der Auflösung durch das Scheidungsurteil. Dabei ist für den Zeitpunkt der Scheidung der Eintritt der formellen Rechtskraft des Scheidungsurteils massgebend. Es ist allerdings nicht ausgeschlossen, dass die Ehegatten in einer Konvention oder einer Prozessvereinbarung einen früheren Zeitpunkt als die Rechtskraft des Scheidungsurteils für massgebend erklären, um eine Berechnung im Scheidungsverfahren zu ermöglichen (BGE 132 V 240; SVR 2005 BVG Nr. 1 S. 2 E. 3.2.2 am Ende). Während das Bezirksgericht Arlesheim mit Urteil vom 22. Februar 2011 für die Teilung der Austrittsleistungen gemäss damaliger Vereinbarung der geschiedenen Ehegatten den Stichtag auf den 28. Februar 2011 festlegte, beantragen diese nun im vorliegenden Verfahren, die Teilung sei per Rechtskraft des Scheidungsurteils vorzunehmen. Damit folgen sie hinsichtlich der Ehedauer der gesetzlichen Definition nach Art. 22 Abs. 1 FZG. Es besteht daher kein Grund, von den hier vorliegenden übereinstimmenden Anträgen der geschiedenen Ehegatten abzuweichen, womit für den Vorsorgeausgleich als Stichtag der 22. Februar 2011 zu bestimmen ist. Aufgrund dieser Sachlage erübrigt es sich, auf die Frage, ob die Parteien in einer Konvention oder Prozessvereinbarung einen späteren Zeitpunkt als die Rechtskraft des Scheidungsurteils für massgebend erklären können, näher einzugehen. 2.2. Gemäss den Angaben der D. vom 21. Juni 2011 beträgt die Austrittsleistung des geschiedenen Ehemannes per 22. Februar 2011 Fr. 125'341.85. Da sowohl die geschiedene Ehefrau als auch der geschiedene Ehemann ausdrücklich auf den Einbezug der am 30. Mai 1992 an den geschiedenen Ehemann erfolgten Barauszahlung in Höhe von Fr. 7'971.25 verzichten, ist ein Betrag von Fr. 125'341.85 auszugleichen. Entsprechend dem durch das Zivilgericht festgelegten Teilungsschlüssel von 50:50 hat die D. einen Betrag von Fr. 62'670.95 (Fr. 125'341.85 : 2) auf das Durchlaufkonto der geschiedenen Ehefrau lautend auf A. bei der C. zu überweisen. Da die der geschiedenen Ehefrau zustehende Austrittsleistung von Gesetzes wegen auf eine Vorsorgeeinrichtung oder auf eine Freizügigkeitseinrichtung zu übertragen ist (vgl. Art. 4 FZG; BGE 129 V 249 E. 4.3), kann ihrem Antrag, es sei das vom geschiedenen Ehemann verpfändete Kapital aus beruflicher Vorsorge im Zusammenhang mit der ehemaligen ehelichen Liegenschaft in X. von Fr. 54'000.-- direkt ihr zu übertragen, nicht gefolgt werden. Es steht der geschiedenen Ehefrau jedoch offen, mit dem Pfandgläubiger die Übertragung der Pfändung auf sie zu vereinbaren. Gemäss den Akten sollte eine solche Transaktion ohne weiteres möglich sein, erklärte sich der geschiedene Ehemann im Scheidungsverfahren mit Eingabe vom 4. Mai 2011 doch mit einer Ablösung der Verpfändung einverstanden.</w:t>
      </w:r>
    </w:p>
    <w:p>
      <w:r>
        <w:rPr>
          <w:b/>
        </w:rPr>
        <w:t>E. 3</w:t>
      </w:r>
    </w:p>
    <w:p>
      <w:r>
        <w:t>Die ausserordentlichen Kosten werden wettgeschlagen.</w:t>
      </w:r>
    </w:p>
    <w:p>
      <w:r>
        <w:rPr>
          <w:b/>
        </w:rPr>
        <w:t>E. 3.1</w:t>
      </w:r>
    </w:p>
    <w:p>
      <w:r>
        <w:t>Gemäss Bundesrechtsprechung bildet die durchgehende Verzinsung der Vorsorgeguthaben ein wesentliches Merkmal der beruflichen Vorsorge (vgl. Urteil des Eidgenössischen Versicherungsgerichts [EVG] vom 8. Juli 2003, B 113/02). Nach diesem Grundsatz ist die dem ausgleichsberechtigten Ehegatten im Fall der Scheidung zustehende Austrittsleistung vom massgebenden Stichtag der Teilung an (d.h. Rechtskraft des Scheidungsurteils; vgl. dazu BGE 132 V 236; Hans - Ulrich Stauffer , Berufliche Vorsorge, Zürich/Basel/Genf 2005, S. 460)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w:t>
      </w:r>
    </w:p>
    <w:p>
      <w:r>
        <w:rPr>
          <w:b/>
        </w:rPr>
        <w:t>E. 3.2</w:t>
      </w:r>
    </w:p>
    <w:p>
      <w:r>
        <w:t>Der Zins richtet sich bis zum Eintritt der Rechtskraft des Scheidungsurteils nach dem gesetzlichen oder reglementarischen Zins. Der vom Bundesrat festgelegte Mindestzinssatz betrug vom 1. Januar 2009 bis 31. Dezember 2011 2 % und ab 1. Januar 2012 1,5 %. Für die Zeit danach legte die bundesgerichtliche Rechtsprechung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der Verordnung über die Freizügigkeit in der beruflichen Alters-, Hinterlassenen- und Invalidenvorsorge (FZV) vom 3. Oktober 1994 in Verbindung mit Art. 12 der Verordnung über die berufliche Alters-, Hinterlassenen- und Invalidenvorsorge (BVV2) vom 18. April 1984 geschuldet (vgl. BGE 129 V 258 E. 4.2.1, mit Hinweisen). Dieser entspricht dem in Art. 12 BVV2 geregelten BVG-Mindestzinssatz plus 1 % (vgl. zur Pflicht zur Entrichtung eines Verzugszinses auf der Austrittsleistung: Botschaft zum FZG vom 26. Februar 1992 [BBl 1992 III 572 f.]).</w:t>
      </w:r>
    </w:p>
    <w:p>
      <w:r>
        <w:rPr>
          <w:b/>
        </w:rPr>
        <w:t>E. 3.3</w:t>
      </w:r>
    </w:p>
    <w:p>
      <w:r>
        <w:t>Hinsichtlich des Zinssatzes führte das Bundesgericht aus, dass im Rahmen des Obligatoriums die Altersguthaben mindestens zu dem in Art. 12 BVV2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BVV2 bzw.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Vorsorgeinrichtungen gilt ebenfalls in erster Linie der reglementarische Zinssatz. Sehen in diesen beiden Fällen das Reglement keinen Zinssatz vor, so rechtfertigt es sich, subsidiär den in Art. 12 BVV2 vorgesehenen Mindestzinssatz anzuwenden (Urteil des EVG vom 8. Juli 2003, B 113/02, E. 2.3 ff.).</w:t>
      </w:r>
    </w:p>
    <w:p>
      <w:r>
        <w:rPr>
          <w:b/>
        </w:rPr>
        <w:t>E. 3.4</w:t>
      </w:r>
    </w:p>
    <w:p>
      <w:r>
        <w:t>Schliesslich stellt sich die Frage, von welchem Zeitpunkt an eine Vorsorgeeinrichtung auf der Austrittsleistung gegebenenfalls einen Verzugszins schuldet, wenn das Sozialversicherungsgericht gestützt auf Art. 281 Abs. 3 ZPO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 gezogen, gilt als Stichtag für den Beginn der 30-tägigen Zahlungsfrist der Tag der Ausfällung der Entscheidung des Bundesgerichts (vgl. Urteil des EVG vom 8. Juli 2003, B 113/02, E. 2.5.2; vgl. dazu auch Mitteilung des BSV über die berufliche Vorsorge Nr. 70).</w:t>
      </w:r>
    </w:p>
    <w:p>
      <w:r>
        <w:rPr>
          <w:b/>
        </w:rPr>
        <w:t>E. 3.5</w:t>
      </w:r>
    </w:p>
    <w:p>
      <w:r>
        <w:t>Die D. hat entsprechend diesen Grundsätzen den Zins (durchgehende Verzinsung) seit der Rechtskraft des Scheidungsurteils bis zum Zeitpunkt der Überweisung auf die geschuldete Austrittsleistung von Fr. 62'670.95 zu berechnen. Dabei hat sie entweder den reglementarischen Zinssatz oder subsidiär den BVG-Mindestzinssatz nach Art. 12 BVV2 anzuwenden. 4.1 Gemäss Art. 73 Abs. 2 BVG und § 20 Abs. 2 VPO sind keine Verfahrenskosten zu erheben. 4.2.1 Der ganz oder teilweise obsiegenden Partei kann gemäss § 21 Abs. 1 VPO für den Beizug eines Anwaltes oder einer Anwältin eine angemessene Parteientschädigung zulasten der Gegenpartei zugesprochen werden. Der Anspruch auf Zusprechung einer Parteientschädigung setzt somit grundsätzlich ein zumindest teilweises Obsiegen voraus. In Ausnahmefällen kann jedoch von diesem Grundsatz abgewichen werden. So kann beispielsweise bei Gegenstandslosigkeit einer Beschwerde ein Anspruch auf Parteientschädigung bestehen, wenn die prozessuale Situation dies rechtfertigt (vgl. RKUV 1994 S. 219). Die Parteikosten können auch nach dem Verursacherprinzip verteilt werden. Danach sind unnötige Parteikosten unabhängig vom Verfahrensausgang von demjenigen zu tragen, der sie verursachte (vgl. Martin Bernet , Die Parteientschädigung in der schweizerischen Verwaltungsrechtspflege, Zürich 1986, S. 137). 4.2.2 Das Verfahren betreffend Teilung der Austrittsleistungen ist von der Besonderheit geprägt, dass dessen Eröffnung nach Überweisung durch das Scheidungsgericht von Amtes wegen erfolgt (vgl. Thomas Locher , Grundriss des Sozialversicherungsrechts, Bern 2003, S. 388). Im Verfahren vor Kantonsgericht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 4.2.3 Aus den Scheidungsakten geht hervor, dass anlässlich der Hauptverhandlung vom 22. Februar 2011 die von der Pensionskasse vorzunehmende Berechnung der Austrittsleistung des geschiedenen Ehemannes fehlte. Als dieser schliesslich die geforderten Unterlagen dem Bezirksgericht eingereicht hatte, konnten die geschiedenen Ehegatten über die Höhe des zu teilenden Vorsorgeguthabens keine Vereinbarung treffen. Folglich hielt das Bezirksgericht Arlesheim in seiner Verfügung vom 6. Mai 2011 fest, dass die Sache zur Teilung der Austrittsleistung infolge Nichteinigung der Parteien ans Sozialversicherungsgericht zu überweisen sei. Damit kann keinem der geschiedenen Ehegatten ein überwiegendes Verschulden für die Überweisung der Angelegenheit ans Kantonsgericht angelastet werden. Es rechtfertigt sich deshalb, die Parteikosten wettzuschlagen. Demgemäss wird e r k a n n t : 1. Die D. wird angewiesen, zu Lasten des Vorsorgekontos von B. mit Fälligkeit nach Rechtskraft des vorliegenden Urteils den Betrag von Fr. 62'670.95 auf das Freizügigkeitskonto bei der C. (Konto Nr. CH68 0076 9016 9991 0049 1) lautend auf A. zu überweisen, wobei dieser Betrag ab Rechtskraft des Scheidungsurteils (22. Februar 2011) bis 31. Dezember 2011 mit dem reglementarischen Zinssatz oder subsidiär dem BVG-Mindestzinssatz von 2 %, ab 1. Januar 2012 mit dem reglementarischen Zinssatz oder subsidiär dem BVG-Mindestzinssatz von 1,5 % und gegebenenfalls ab dem 31. Tag nach Eintritt der Rechtskraft des vorliegenden Urteils bzw. am Tag der Ausfällung des Entscheids des Bundesgerichts mit einem Verzugszinssatz von 2,5 % zu verzinsen ist.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